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F" w:rsidRPr="000E1C54" w:rsidRDefault="00F43126" w:rsidP="000E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="00E8093F" w:rsidRPr="000E1C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126" w:rsidRPr="000E1C54" w:rsidRDefault="00E8093F" w:rsidP="000E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0E1C54" w:rsidRPr="000E1C54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сельских поселений, межселенных территориях Вольского муниципального района Саратовской области в 2023 году</w:t>
      </w:r>
    </w:p>
    <w:p w:rsidR="00E8093F" w:rsidRPr="000E1C54" w:rsidRDefault="00E8093F" w:rsidP="000E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Вольского муниципального района Саратовской области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2021 года проводится общественное обсуждение проект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 w:rsidR="004251E6"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при осуществлении муниципального</w:t>
      </w:r>
      <w:proofErr w:type="gramEnd"/>
      <w:r w:rsidRPr="000E1C54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</w:t>
      </w:r>
      <w:r w:rsidR="000E1C54" w:rsidRPr="000E1C54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 вне границ сельских поселений, межселенных территориях Вольского муниципального района Саратовской области в 2023 году</w:t>
      </w:r>
      <w:bookmarkStart w:id="0" w:name="_GoBack"/>
      <w:bookmarkEnd w:id="0"/>
      <w:r w:rsidR="00921D4C" w:rsidRPr="000E1C54">
        <w:rPr>
          <w:rFonts w:ascii="Times New Roman" w:hAnsi="Times New Roman" w:cs="Times New Roman"/>
          <w:sz w:val="28"/>
        </w:rPr>
        <w:t>.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 профилактики размещен на официальном сайте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администрации Вольского муниципального района Саратовской области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proofErr w:type="gramEnd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информационно-телекоммуникационной сети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proofErr w:type="spellStart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begin"/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instrText xml:space="preserve"> HYPERLINK "https://www.nmosk.ru/" </w:instrTex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separate"/>
      </w:r>
      <w:r w:rsidRPr="000E1C54">
        <w:rPr>
          <w:rFonts w:ascii="Times New Roman" w:hAnsi="Times New Roman" w:cs="Times New Roman"/>
          <w:color w:val="5F7AB9"/>
          <w:sz w:val="28"/>
          <w:szCs w:val="28"/>
        </w:rPr>
        <w:t>Вольск</w:t>
      </w:r>
      <w:proofErr w:type="gramStart"/>
      <w:r w:rsidRPr="000E1C54">
        <w:rPr>
          <w:rFonts w:ascii="Times New Roman" w:hAnsi="Times New Roman" w:cs="Times New Roman"/>
          <w:color w:val="5F7AB9"/>
          <w:sz w:val="28"/>
          <w:szCs w:val="28"/>
        </w:rPr>
        <w:t>.р</w:t>
      </w:r>
      <w:proofErr w:type="gramEnd"/>
      <w:r w:rsidRPr="000E1C54">
        <w:rPr>
          <w:rFonts w:ascii="Times New Roman" w:hAnsi="Times New Roman" w:cs="Times New Roman"/>
          <w:color w:val="5F7AB9"/>
          <w:sz w:val="28"/>
          <w:szCs w:val="28"/>
        </w:rPr>
        <w:t>ф</w:t>
      </w:r>
      <w:proofErr w:type="spellEnd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end"/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 в разделе Контрольно-надзорная деятельность</w:t>
      </w:r>
      <w:r w:rsidR="00E8093F"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921D4C" w:rsidRPr="000E1C54" w:rsidRDefault="00921D4C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отправлением: 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412906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F43126" w:rsidRPr="000E1C54" w:rsidRDefault="00F43126" w:rsidP="000E1C54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ул.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арочным: г.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 ул. </w:t>
      </w:r>
      <w:proofErr w:type="gramStart"/>
      <w:r w:rsidRPr="000E1C54"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proofErr w:type="gramEnd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 xml:space="preserve"> № 24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hyperlink r:id="rId9" w:history="1">
        <w:r w:rsidR="00921D4C" w:rsidRPr="000E1C54">
          <w:rPr>
            <w:rStyle w:val="af3"/>
            <w:rFonts w:ascii="Times New Roman" w:hAnsi="Times New Roman" w:cs="Times New Roman"/>
            <w:sz w:val="28"/>
            <w:szCs w:val="28"/>
          </w:rPr>
          <w:t>volskadm@mail.ru</w:t>
        </w:r>
      </w:hyperlink>
    </w:p>
    <w:p w:rsidR="00921D4C" w:rsidRPr="000E1C54" w:rsidRDefault="00921D4C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F43126" w:rsidRPr="000E1C54" w:rsidRDefault="00F43126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Pr="000E1C54" w:rsidRDefault="00921D4C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Pr="000E1C54" w:rsidRDefault="00921D4C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Pr="000E1C54" w:rsidRDefault="00921D4C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Pr="000E1C54" w:rsidRDefault="00921D4C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ПРОЕКТ</w:t>
      </w:r>
    </w:p>
    <w:p w:rsidR="009D02BB" w:rsidRPr="000E1C54" w:rsidRDefault="009D02BB" w:rsidP="000E1C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0E1C54" w:rsidRPr="000E1C54" w:rsidRDefault="000E1C54" w:rsidP="000E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C5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вне границ сельских поселений, межселенных территориях Вольского муниципального района Саратовской области в 2023 году</w:t>
      </w:r>
    </w:p>
    <w:p w:rsidR="000E1C54" w:rsidRPr="000E1C54" w:rsidRDefault="000E1C54" w:rsidP="000E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C54" w:rsidRPr="000E1C54" w:rsidRDefault="000E1C54" w:rsidP="000E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54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E1C54" w:rsidRPr="000E1C54" w:rsidRDefault="000E1C54" w:rsidP="000E1C5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сельских поселений, межселенных территориях Вольского муниципального района Саратовской области в 2023 году (далее – муниципальный контроль на автомобильном транспорте, городском наземном электрическом транспорте и в дорожном хозяйстве).</w:t>
      </w:r>
    </w:p>
    <w:p w:rsidR="000E1C54" w:rsidRPr="000E1C54" w:rsidRDefault="000E1C54" w:rsidP="000E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 Вольск Вольского муниципального района Саратовской области, администрация Вольского муниципального района Саратовской области (далее - Администрация) является уполномоченным органом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  <w:proofErr w:type="gramEnd"/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а) в области автомобильных дорог и дорожной деятельности, установленных в отношении автомобильных дорог местного значения: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б)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в) исполнения решений, принимаемых по результатам контрольных мероприятий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4. В качестве контролируемых лиц при осуществлении муниципального контроля на автомобильном транспорте, городском наземном электрическом транспорте и в дорожном хозяйстве выступают физические и юридические лица, индивидуальные </w:t>
      </w:r>
      <w:r w:rsidRPr="000E1C54">
        <w:rPr>
          <w:rFonts w:ascii="Times New Roman" w:hAnsi="Times New Roman" w:cs="Times New Roman"/>
          <w:sz w:val="24"/>
          <w:szCs w:val="24"/>
        </w:rPr>
        <w:lastRenderedPageBreak/>
        <w:t>предприниматели, осуществляющие деятельность на территории муниципального образования город Вольск Вольского муниципального района Саратовской области.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5. Штатная численность должностных лиц Администрации, уполномоченных осуществлять муниципальный контроль на автомобильном транспорте, городском наземном электрическом транспорте и в дорожном хозяйств, в 2022 году составляла 2 человека.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В рамках развития и осуществления профилактической деятельности в границах муниципального образования город Вольск Вольского муниципального района Саратовской области в 2022 году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 Вольского муниципального района Саратовской области) перечни нормативных правовых актов, содержащих обязательные требования, соблюдение которых оценивается при проведении мероприятий при осуществлении муниципального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хозяйстве, а также тексты соответствующих нормативных правовых актов;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7. Программа направлена на решение проблем по недопущению нарушений: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при эксплуатации объектов дорожного сервиса, размещённых в полосах отвода и (или) придорожных полосах автомобильных дорог общего пользования;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при осуществлении работ по капитальному ремонту, ремонту           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требований, установленных в отношении перевозок по муниципальным маршрутам регулярных перевозок, в области организации регулярных перевозок;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- при выполнению в установленный срок предписаний, выданных должностными лицами Администрации в пределах компетенции, по вопросам соблюдения установленных требований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 сфере дорожной деятельности  и устранения выявленных нарушений.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Цели и задачи реализации Программы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1. Основными целями программы профилактики являются: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1.1. Стимулирование добросовестного соблюдения обязательных требований всеми контролируемыми лицами; 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2.1. Укрепление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2.2. Повышение правосознания и правовой культуры руководителей  юридических лиц, индивидуальных предпринимателей и граждан;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1C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127"/>
        <w:gridCol w:w="2127"/>
      </w:tblGrid>
      <w:tr w:rsidR="000E1C54" w:rsidRPr="000E1C54" w:rsidTr="00B50E67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 w:rsidRPr="000E1C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E1C54">
              <w:rPr>
                <w:rFonts w:ascii="Times New Roman" w:hAnsi="Times New Roman" w:cs="Times New Roman"/>
                <w:b/>
              </w:rPr>
              <w:t>/п</w:t>
            </w:r>
          </w:p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54" w:rsidRPr="000E1C54" w:rsidRDefault="000E1C54" w:rsidP="000E1C5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E1C54" w:rsidRPr="000E1C54" w:rsidRDefault="000E1C54" w:rsidP="000E1C5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E1C54" w:rsidRPr="000E1C54" w:rsidTr="00B50E67">
        <w:tblPrEx>
          <w:tblCellMar>
            <w:top w:w="0" w:type="dxa"/>
            <w:bottom w:w="0" w:type="dxa"/>
          </w:tblCellMar>
        </w:tblPrEx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0E1C54">
              <w:rPr>
                <w:rFonts w:ascii="Times New Roman" w:hAnsi="Times New Roman" w:cs="Times New Roman"/>
                <w:sz w:val="22"/>
              </w:rPr>
              <w:t>своем</w:t>
            </w:r>
            <w:proofErr w:type="gramEnd"/>
            <w:r w:rsidRPr="000E1C54">
              <w:rPr>
                <w:rFonts w:ascii="Times New Roman" w:hAnsi="Times New Roman" w:cs="Times New Roman"/>
                <w:sz w:val="22"/>
              </w:rPr>
              <w:t xml:space="preserve">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E1C54" w:rsidRPr="000E1C54" w:rsidRDefault="000E1C54" w:rsidP="000E1C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E1C54" w:rsidRPr="000E1C54" w:rsidRDefault="000E1C54" w:rsidP="000E1C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E1C54" w:rsidRPr="000E1C54" w:rsidTr="00B50E67">
        <w:tblPrEx>
          <w:tblCellMar>
            <w:top w:w="0" w:type="dxa"/>
            <w:bottom w:w="0" w:type="dxa"/>
          </w:tblCellMar>
        </w:tblPrEx>
        <w:trPr>
          <w:trHeight w:hRule="exact" w:val="3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E1C54" w:rsidRPr="000E1C54" w:rsidRDefault="000E1C54" w:rsidP="000E1C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  <w:p w:rsidR="000E1C54" w:rsidRPr="000E1C54" w:rsidRDefault="000E1C54" w:rsidP="000E1C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C54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0E1C54" w:rsidRPr="000E1C54" w:rsidRDefault="000E1C54" w:rsidP="000E1C5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C54">
              <w:rPr>
                <w:rFonts w:ascii="Times New Roman" w:hAnsi="Times New Roman" w:cs="Times New Roman"/>
                <w:sz w:val="22"/>
                <w:szCs w:val="22"/>
              </w:rPr>
              <w:t xml:space="preserve">до 1 июля года, следующего за отчетным годом </w:t>
            </w:r>
          </w:p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E1C54" w:rsidRPr="000E1C54" w:rsidTr="00B50E67">
        <w:tblPrEx>
          <w:tblCellMar>
            <w:top w:w="0" w:type="dxa"/>
            <w:bottom w:w="0" w:type="dxa"/>
          </w:tblCellMar>
        </w:tblPrEx>
        <w:trPr>
          <w:trHeight w:hRule="exact" w:val="3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E1C54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E1C54" w:rsidRPr="000E1C54" w:rsidRDefault="000E1C54" w:rsidP="000E1C5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E1C54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E1C54" w:rsidRPr="000E1C54" w:rsidTr="00B50E67">
        <w:tblPrEx>
          <w:tblCellMar>
            <w:top w:w="0" w:type="dxa"/>
            <w:bottom w:w="0" w:type="dxa"/>
          </w:tblCellMar>
        </w:tblPrEx>
        <w:trPr>
          <w:trHeight w:hRule="exact" w:val="3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0E1C54" w:rsidRPr="000E1C54" w:rsidRDefault="000E1C54" w:rsidP="000E1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контроля.</w:t>
            </w:r>
          </w:p>
          <w:p w:rsidR="000E1C54" w:rsidRPr="000E1C54" w:rsidRDefault="000E1C54" w:rsidP="000E1C5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E1C54" w:rsidRPr="000E1C54" w:rsidTr="00B50E67">
        <w:tblPrEx>
          <w:tblCellMar>
            <w:top w:w="0" w:type="dxa"/>
            <w:bottom w:w="0" w:type="dxa"/>
          </w:tblCellMar>
        </w:tblPrEx>
        <w:trPr>
          <w:trHeight w:hRule="exact" w:val="20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 xml:space="preserve">5 </w:t>
            </w:r>
          </w:p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0E1C54" w:rsidRPr="000E1C54" w:rsidRDefault="000E1C54" w:rsidP="000E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1C54" w:rsidRPr="000E1C54" w:rsidRDefault="000E1C54" w:rsidP="000E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 xml:space="preserve"> </w:t>
            </w:r>
          </w:p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1C54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0E1C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2839"/>
      </w:tblGrid>
      <w:tr w:rsidR="000E1C54" w:rsidRPr="000E1C54" w:rsidTr="00B50E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0E1C54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0E1C54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Величина</w:t>
            </w:r>
          </w:p>
        </w:tc>
      </w:tr>
      <w:tr w:rsidR="000E1C54" w:rsidRPr="000E1C54" w:rsidTr="00B50E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0E1C54" w:rsidRPr="000E1C54" w:rsidTr="00B50E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 xml:space="preserve">100 % от числа </w:t>
            </w:r>
            <w:proofErr w:type="gramStart"/>
            <w:r w:rsidRPr="000E1C54">
              <w:rPr>
                <w:rFonts w:ascii="Times New Roman" w:hAnsi="Times New Roman" w:cs="Times New Roman"/>
                <w:szCs w:val="28"/>
              </w:rPr>
              <w:t>обратившихся</w:t>
            </w:r>
            <w:proofErr w:type="gramEnd"/>
          </w:p>
        </w:tc>
      </w:tr>
    </w:tbl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28EB" w:rsidRPr="000E1C54" w:rsidRDefault="009828EB" w:rsidP="000E1C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sectPr w:rsidR="009828EB" w:rsidRPr="000E1C54" w:rsidSect="00921D4C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72" w:rsidRDefault="00001A72" w:rsidP="0001762C">
      <w:pPr>
        <w:spacing w:after="0" w:line="240" w:lineRule="auto"/>
      </w:pPr>
      <w:r>
        <w:separator/>
      </w:r>
    </w:p>
  </w:endnote>
  <w:endnote w:type="continuationSeparator" w:id="0">
    <w:p w:rsidR="00001A72" w:rsidRDefault="00001A72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6258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72" w:rsidRDefault="00001A72" w:rsidP="0001762C">
      <w:pPr>
        <w:spacing w:after="0" w:line="240" w:lineRule="auto"/>
      </w:pPr>
      <w:r>
        <w:separator/>
      </w:r>
    </w:p>
  </w:footnote>
  <w:footnote w:type="continuationSeparator" w:id="0">
    <w:p w:rsidR="00001A72" w:rsidRDefault="00001A72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550"/>
    <w:rsid w:val="00001A72"/>
    <w:rsid w:val="00003BB6"/>
    <w:rsid w:val="000175AE"/>
    <w:rsid w:val="0001762C"/>
    <w:rsid w:val="00017E68"/>
    <w:rsid w:val="000302F2"/>
    <w:rsid w:val="00032D8E"/>
    <w:rsid w:val="0005693A"/>
    <w:rsid w:val="00060550"/>
    <w:rsid w:val="00060E07"/>
    <w:rsid w:val="000A1DAF"/>
    <w:rsid w:val="000A692B"/>
    <w:rsid w:val="000B2B31"/>
    <w:rsid w:val="000C169C"/>
    <w:rsid w:val="000C6730"/>
    <w:rsid w:val="000D3D4D"/>
    <w:rsid w:val="000E1781"/>
    <w:rsid w:val="000E1A0A"/>
    <w:rsid w:val="000E1C54"/>
    <w:rsid w:val="00101281"/>
    <w:rsid w:val="00131BB0"/>
    <w:rsid w:val="00135161"/>
    <w:rsid w:val="001402DA"/>
    <w:rsid w:val="00141933"/>
    <w:rsid w:val="0014276E"/>
    <w:rsid w:val="00144B28"/>
    <w:rsid w:val="00150864"/>
    <w:rsid w:val="00150F23"/>
    <w:rsid w:val="00155FA2"/>
    <w:rsid w:val="0017588C"/>
    <w:rsid w:val="00183070"/>
    <w:rsid w:val="00187797"/>
    <w:rsid w:val="00191000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D58F3"/>
    <w:rsid w:val="002E488A"/>
    <w:rsid w:val="002F4CEE"/>
    <w:rsid w:val="00305831"/>
    <w:rsid w:val="003100E7"/>
    <w:rsid w:val="00316773"/>
    <w:rsid w:val="00317376"/>
    <w:rsid w:val="003206CC"/>
    <w:rsid w:val="003248E1"/>
    <w:rsid w:val="00324A4E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B79FC"/>
    <w:rsid w:val="003C3816"/>
    <w:rsid w:val="003F30D9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B529A"/>
    <w:rsid w:val="005B5AEC"/>
    <w:rsid w:val="005B6746"/>
    <w:rsid w:val="005D798C"/>
    <w:rsid w:val="005E4C26"/>
    <w:rsid w:val="005F2F00"/>
    <w:rsid w:val="005F4C26"/>
    <w:rsid w:val="006122C0"/>
    <w:rsid w:val="006258B9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67F0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21D4C"/>
    <w:rsid w:val="009300B9"/>
    <w:rsid w:val="00932614"/>
    <w:rsid w:val="009457C7"/>
    <w:rsid w:val="009817BD"/>
    <w:rsid w:val="009828EB"/>
    <w:rsid w:val="00990729"/>
    <w:rsid w:val="009A70BA"/>
    <w:rsid w:val="009B0072"/>
    <w:rsid w:val="009C0A64"/>
    <w:rsid w:val="009C0EB5"/>
    <w:rsid w:val="009C59E2"/>
    <w:rsid w:val="009D02BB"/>
    <w:rsid w:val="009D6675"/>
    <w:rsid w:val="00A04D02"/>
    <w:rsid w:val="00A04F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5188"/>
    <w:rsid w:val="00AA1C04"/>
    <w:rsid w:val="00AE7FEC"/>
    <w:rsid w:val="00AF18C1"/>
    <w:rsid w:val="00AF360F"/>
    <w:rsid w:val="00B121A5"/>
    <w:rsid w:val="00B148C9"/>
    <w:rsid w:val="00B16157"/>
    <w:rsid w:val="00B201FC"/>
    <w:rsid w:val="00B27757"/>
    <w:rsid w:val="00B31CC8"/>
    <w:rsid w:val="00B45ACC"/>
    <w:rsid w:val="00B515F2"/>
    <w:rsid w:val="00B54FE2"/>
    <w:rsid w:val="00B64B59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D03387"/>
    <w:rsid w:val="00D12790"/>
    <w:rsid w:val="00D148C9"/>
    <w:rsid w:val="00D14B97"/>
    <w:rsid w:val="00D55F83"/>
    <w:rsid w:val="00D62AE9"/>
    <w:rsid w:val="00D63FA1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093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43126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F"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ocked/>
    <w:rsid w:val="00921D4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ols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A4DD-3507-4366-8351-5B9AE5C7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25904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Дорожный отдел</cp:lastModifiedBy>
  <cp:revision>102</cp:revision>
  <cp:lastPrinted>2021-03-23T10:44:00Z</cp:lastPrinted>
  <dcterms:created xsi:type="dcterms:W3CDTF">2021-02-19T05:47:00Z</dcterms:created>
  <dcterms:modified xsi:type="dcterms:W3CDTF">2022-10-10T12:20:00Z</dcterms:modified>
</cp:coreProperties>
</file>