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9F4947" w:rsidRPr="004004BA" w:rsidRDefault="00C222E5" w:rsidP="004004BA">
      <w:pPr>
        <w:ind w:firstLine="993"/>
        <w:jc w:val="both"/>
        <w:rPr>
          <w:sz w:val="26"/>
          <w:szCs w:val="26"/>
        </w:rPr>
      </w:pPr>
      <w:r w:rsidRPr="0032261C">
        <w:rPr>
          <w:b/>
          <w:bCs/>
        </w:rPr>
        <w:t xml:space="preserve">Торги состоятся  </w:t>
      </w:r>
      <w:r w:rsidR="006C648A">
        <w:rPr>
          <w:b/>
          <w:bCs/>
        </w:rPr>
        <w:t>21</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bookmarkStart w:id="0" w:name="P35"/>
      <w:bookmarkEnd w:id="0"/>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4004BA" w:rsidRPr="00F469E3" w:rsidTr="00622A3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6C648A">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Шаг аукциона, руб., </w:t>
            </w:r>
          </w:p>
          <w:p w:rsidR="004004BA" w:rsidRPr="00F469E3" w:rsidRDefault="004004BA" w:rsidP="00622A35">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Размер задатка, руб., 30%</w:t>
            </w:r>
          </w:p>
        </w:tc>
      </w:tr>
      <w:tr w:rsidR="004004BA" w:rsidRPr="00F469E3"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10</w:t>
            </w:r>
          </w:p>
        </w:tc>
      </w:tr>
      <w:tr w:rsidR="004004BA" w:rsidRPr="004A0093"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412900,г</w:t>
            </w:r>
            <w:proofErr w:type="gramStart"/>
            <w:r>
              <w:rPr>
                <w:sz w:val="18"/>
                <w:szCs w:val="18"/>
              </w:rPr>
              <w:t>.В</w:t>
            </w:r>
            <w:proofErr w:type="gramEnd"/>
            <w:r>
              <w:rPr>
                <w:sz w:val="18"/>
                <w:szCs w:val="18"/>
              </w:rPr>
              <w:t>ольск, ул. Красногвардейская, №10 А, примерно в 15 метрах от центрального входа в городской парк</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rPr>
                <w:sz w:val="20"/>
                <w:szCs w:val="20"/>
              </w:rPr>
            </w:pPr>
            <w:r>
              <w:rPr>
                <w:sz w:val="20"/>
                <w:szCs w:val="20"/>
              </w:rPr>
              <w:t xml:space="preserve">       </w:t>
            </w:r>
          </w:p>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jc w:val="center"/>
              <w:rPr>
                <w:sz w:val="20"/>
                <w:szCs w:val="20"/>
              </w:rPr>
            </w:pPr>
            <w:r>
              <w:rPr>
                <w:sz w:val="20"/>
                <w:szCs w:val="20"/>
              </w:rPr>
              <w:t xml:space="preserve">с </w:t>
            </w:r>
            <w:r w:rsidRPr="00294399">
              <w:rPr>
                <w:sz w:val="20"/>
                <w:szCs w:val="20"/>
              </w:rPr>
              <w:t>01.05.2020г. по 01.10.2020г.</w:t>
            </w:r>
          </w:p>
          <w:p w:rsidR="004004BA" w:rsidRPr="00F469E3" w:rsidRDefault="004004BA" w:rsidP="00622A35">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967,94</w:t>
            </w:r>
          </w:p>
        </w:tc>
      </w:tr>
      <w:tr w:rsidR="004004BA" w:rsidRPr="00AA6879"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 г. Вольск, ул. Степана Разина, примерно в 3 метрах от лодочной станции</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967,94</w:t>
            </w:r>
          </w:p>
        </w:tc>
      </w:tr>
      <w:tr w:rsidR="004004BA" w:rsidRPr="00420CC4"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 г. Вольск, ул. Ленина, примерно в 15 метрах от дома №50</w:t>
            </w:r>
            <w:proofErr w:type="gramStart"/>
            <w:r>
              <w:rPr>
                <w:sz w:val="18"/>
                <w:szCs w:val="18"/>
              </w:rPr>
              <w:t xml:space="preserve"> А</w:t>
            </w:r>
            <w:proofErr w:type="gramEnd"/>
            <w:r>
              <w:rPr>
                <w:sz w:val="18"/>
                <w:szCs w:val="18"/>
              </w:rPr>
              <w:t xml:space="preserve"> (район Сбербанка)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967,94</w:t>
            </w:r>
          </w:p>
        </w:tc>
      </w:tr>
      <w:tr w:rsidR="004004BA" w:rsidRPr="00F471D9"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AD008D" w:rsidRDefault="004004BA" w:rsidP="00622A35">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примерно в 7 метрах от дома №36 (магазин «Светоч»)</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967,94</w:t>
            </w:r>
          </w:p>
        </w:tc>
      </w:tr>
      <w:tr w:rsidR="004004BA" w:rsidRPr="00090831"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E3749A" w:rsidRDefault="004004BA" w:rsidP="00622A35">
            <w:pPr>
              <w:jc w:val="center"/>
              <w:rPr>
                <w:sz w:val="18"/>
                <w:szCs w:val="18"/>
              </w:rPr>
            </w:pPr>
            <w:r>
              <w:rPr>
                <w:sz w:val="18"/>
                <w:szCs w:val="18"/>
              </w:rPr>
              <w:t>412900, г. Вольск, пл. Радужная, примерно в 5 метрах от дома №1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rPr>
                <w:sz w:val="20"/>
                <w:szCs w:val="20"/>
              </w:rPr>
            </w:pPr>
            <w:r>
              <w:rPr>
                <w:sz w:val="20"/>
                <w:szCs w:val="20"/>
              </w:rPr>
              <w:t xml:space="preserve">       </w:t>
            </w:r>
          </w:p>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967,94</w:t>
            </w:r>
          </w:p>
        </w:tc>
      </w:tr>
    </w:tbl>
    <w:p w:rsidR="009F4947" w:rsidRDefault="009F4947" w:rsidP="004004BA">
      <w:pPr>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6C648A">
        <w:rPr>
          <w:b/>
          <w:sz w:val="22"/>
        </w:rPr>
        <w:t>20</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6C648A">
        <w:rPr>
          <w:b/>
          <w:sz w:val="22"/>
        </w:rPr>
        <w:t>09</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6C648A">
        <w:rPr>
          <w:b/>
          <w:sz w:val="22"/>
          <w:szCs w:val="22"/>
        </w:rPr>
        <w:t>20</w:t>
      </w:r>
      <w:r w:rsidR="00295A1B">
        <w:rPr>
          <w:b/>
          <w:sz w:val="22"/>
          <w:szCs w:val="22"/>
        </w:rPr>
        <w:t>.04</w:t>
      </w:r>
      <w:r w:rsidR="00A026F8">
        <w:rPr>
          <w:b/>
          <w:sz w:val="22"/>
          <w:szCs w:val="22"/>
        </w:rPr>
        <w:t>.2020 года  в 14</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A026F8">
        <w:rPr>
          <w:b/>
          <w:sz w:val="22"/>
        </w:rPr>
        <w:t>21</w:t>
      </w:r>
      <w:r w:rsidR="004068BE">
        <w:rPr>
          <w:b/>
          <w:sz w:val="22"/>
        </w:rPr>
        <w:t>.04</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A026F8">
        <w:rPr>
          <w:b/>
          <w:sz w:val="22"/>
          <w:szCs w:val="16"/>
        </w:rPr>
        <w:t>09</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2F52C3" w:rsidRDefault="002F52C3" w:rsidP="008156AC">
      <w:pPr>
        <w:rPr>
          <w:sz w:val="22"/>
          <w:szCs w:val="22"/>
        </w:rPr>
      </w:pPr>
    </w:p>
    <w:p w:rsidR="002F52C3" w:rsidRDefault="002F52C3" w:rsidP="004553DA">
      <w:pPr>
        <w:ind w:firstLine="709"/>
        <w:jc w:val="right"/>
        <w:rPr>
          <w:sz w:val="22"/>
          <w:szCs w:val="22"/>
        </w:rPr>
      </w:pPr>
    </w:p>
    <w:p w:rsidR="002F52C3" w:rsidRDefault="002F52C3"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Срок действия договора устанавливается с</w:t>
      </w:r>
      <w:r w:rsidR="00A026F8">
        <w:rPr>
          <w:sz w:val="22"/>
          <w:szCs w:val="22"/>
        </w:rPr>
        <w:t xml:space="preserve"> 01 мая 2020 года </w:t>
      </w:r>
      <w:r w:rsidRPr="00832F7C">
        <w:rPr>
          <w:sz w:val="22"/>
          <w:szCs w:val="22"/>
        </w:rPr>
        <w:t xml:space="preserve">по </w:t>
      </w:r>
      <w:r w:rsidR="007B3E66" w:rsidRPr="00832F7C">
        <w:rPr>
          <w:sz w:val="22"/>
          <w:szCs w:val="22"/>
        </w:rPr>
        <w:t>01 октября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A026F8">
        <w:rPr>
          <w:bCs/>
          <w:sz w:val="22"/>
          <w:szCs w:val="22"/>
        </w:rPr>
        <w:t xml:space="preserve">01.05.2020 г.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w:t>
            </w:r>
            <w:bookmarkStart w:id="1" w:name="_GoBack"/>
            <w:bookmarkEnd w:id="1"/>
            <w:r>
              <w:rPr>
                <w:sz w:val="22"/>
                <w:szCs w:val="22"/>
              </w:rPr>
              <w:t>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8156AC">
      <w:pgSz w:w="16838" w:h="11906" w:orient="landscape" w:code="9"/>
      <w:pgMar w:top="567" w:right="709" w:bottom="425" w:left="34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C546B"/>
    <w:rsid w:val="002D3FBD"/>
    <w:rsid w:val="002D4216"/>
    <w:rsid w:val="002E0D8F"/>
    <w:rsid w:val="002E490F"/>
    <w:rsid w:val="002F16D4"/>
    <w:rsid w:val="002F52C3"/>
    <w:rsid w:val="002F5B3C"/>
    <w:rsid w:val="002F5E05"/>
    <w:rsid w:val="002F7318"/>
    <w:rsid w:val="00314908"/>
    <w:rsid w:val="00315496"/>
    <w:rsid w:val="0031769C"/>
    <w:rsid w:val="00317E82"/>
    <w:rsid w:val="0032261C"/>
    <w:rsid w:val="00322BBB"/>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04BA"/>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03D8"/>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C648A"/>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56AC"/>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4947"/>
    <w:rsid w:val="009F6409"/>
    <w:rsid w:val="00A026F8"/>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16F5"/>
    <w:rsid w:val="00AD4EE0"/>
    <w:rsid w:val="00AD666E"/>
    <w:rsid w:val="00AD7759"/>
    <w:rsid w:val="00AD7CED"/>
    <w:rsid w:val="00AE5A34"/>
    <w:rsid w:val="00AE7D80"/>
    <w:rsid w:val="00B04309"/>
    <w:rsid w:val="00B064E8"/>
    <w:rsid w:val="00B0727A"/>
    <w:rsid w:val="00B1178F"/>
    <w:rsid w:val="00B13048"/>
    <w:rsid w:val="00B160B7"/>
    <w:rsid w:val="00B2639F"/>
    <w:rsid w:val="00B2745B"/>
    <w:rsid w:val="00B35FBE"/>
    <w:rsid w:val="00B361DD"/>
    <w:rsid w:val="00B3777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122CB"/>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36BA7"/>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5627-580B-4D24-8E10-5D4B7766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6857</Words>
  <Characters>39089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18</cp:revision>
  <cp:lastPrinted>2020-01-24T11:53:00Z</cp:lastPrinted>
  <dcterms:created xsi:type="dcterms:W3CDTF">2020-01-24T08:28:00Z</dcterms:created>
  <dcterms:modified xsi:type="dcterms:W3CDTF">2020-03-13T07:53:00Z</dcterms:modified>
</cp:coreProperties>
</file>