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F3EFC">
        <w:rPr>
          <w:rFonts w:ascii="Times New Roman" w:hAnsi="Times New Roman" w:cs="Times New Roman"/>
          <w:sz w:val="28"/>
          <w:szCs w:val="28"/>
        </w:rPr>
        <w:t>Утверждены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руководством 8 Центра ФСБ России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21 февраля 2008 г. N 149/6/6-622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ТИПОВЫЕ ТРЕБОВАНИЯ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ПО ОРГАНИЗАЦИИ И ОБЕСПЕЧЕНИЮ ФУНКЦИОНИРОВАНИЯ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ШИФРОВАЛЬНЫХ (КРИПТОГРАФИЧЕСКИХ) СРЕДСТВ, ПРЕДНАЗНАЧЕННЫХ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ДЛЯ ЗАЩИТЫ ИНФОРМАЦИИ, НЕ СОДЕРЖАЩЕЙ СВЕДЕНИЙ, СОСТАВЛЯЮЩИХ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ГОСУДАРСТВЕННУЮ ТАЙНУ, В СЛУЧАЕ ИХ ИСПОЛЬЗОВАНИЯ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ДЛЯ ОБЕСПЕЧЕНИЯ БЕЗОПАСНОСТИ ПЕРСОНАЛЬНЫХ ДАННЫХ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ПРИ ИХ ОБРАБОТКЕ В ИНФОРМАЦИОННЫХ СИСТЕМАХ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FC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3F3E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 xml:space="preserve">Настоящие Требования определяют порядок организации и обеспечения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(далее -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), в случае их использования для обеспечения безопасности персональных данных при их обработке в информационных системах персональных данных (далее - информационная система).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1.2. Настоящие Требования разработаны во исполнение: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Федерального закона "О персональных данных" от 27 июля 2006 г. N 152-ФЗ </w:t>
      </w:r>
      <w:hyperlink r:id="rId5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(Статья 19)</w:t>
        </w:r>
      </w:hyperlink>
      <w:r w:rsidRPr="003F3EFC">
        <w:rPr>
          <w:rFonts w:ascii="Times New Roman" w:hAnsi="Times New Roman" w:cs="Times New Roman"/>
          <w:sz w:val="28"/>
          <w:szCs w:val="28"/>
        </w:rPr>
        <w:t>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РФ от 17 ноября 2007 г. N 781 (далее - Положение);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о Федеральной службе безопасности Российской Федерации, утвержденного Указом Президента Российской Федерации от 11 августа 2003 г. N 960.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1.3. Настоящие Требования: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являются обязательными для оператора, осуществляющего обработку персональных данных, а также лица, которому на основании договора оператор поручает обработку персональных данных, и (или) лица, которому на основании договора оператор поручает оказание услуг по организации и обеспечению безопасности защиты персональных данных при их обработке в информационной системе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 При этом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 в случаях, предусмотренных действующим законодательством;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распространяются на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предназначенные для обеспечения безопасности персональных данных при их обработке в информационных системах персональных данных, все технические средства которых находятся в пределах Российской Федерации, а также в системах, технические средства которых частично или целиком находятся за пределами Российской Федерации;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не отменяют требования иных документов, регламентирующих порядок обращения со служебной информацией ограниченного распространения в федеральных органах исполнительной власти.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FC">
        <w:rPr>
          <w:rFonts w:ascii="Times New Roman" w:hAnsi="Times New Roman" w:cs="Times New Roman"/>
          <w:sz w:val="28"/>
          <w:szCs w:val="28"/>
        </w:rPr>
        <w:t>Оператор с учетом особенностей своей деятельности может разрабатывать не противоречащие настоящим Требованиям методические рекомендации по их применению.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Используемые для целей настоящих Требований термины и определения приведены в </w:t>
      </w:r>
      <w:hyperlink w:anchor="Par160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3F3EFC">
        <w:rPr>
          <w:rFonts w:ascii="Times New Roman" w:hAnsi="Times New Roman" w:cs="Times New Roman"/>
          <w:sz w:val="28"/>
          <w:szCs w:val="28"/>
        </w:rPr>
        <w:t>2. Организация и обеспечение безопасности обработки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шифровальных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(криптографических)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средств персональных данных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2.1. Безопасность обработки персональных данных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организуют и обеспечивают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операторы, а также лица, которым на основании договора оператор поручает обработку персональных данных, и (или) лица, которым на основании договора оператор поручает оказание услуг по организации и обеспечению безопасности обработки в информационной системе персональных данных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персональных данных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>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r:id="rId8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ФСБ России от 9 февраля 2005 г. N 66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Правительства РФ от 29 декабря 2007 г. N 957 "Об утверждении положений о лицензировании отдельных видов деятельности, связанных с шифровальными (криптографическими) средствами";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3) Методическими </w:t>
      </w:r>
      <w:hyperlink r:id="rId10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по обеспечению с помощью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 (N 149/54-144, 2008, ФСБ России);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4) Настоящими Требованиями.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2.2. Операторы несут ответственность за соответствие проводимых ими мероприятий по организации и обеспечению безопасности обработки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персональных данных лицензионным требованиям и условиям, эксплуатационной и технической документации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а также настоящим Требованиям.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При этом операторы должны обеспечивать комплексность защиты персональных данных, в том числе посредством применения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некриптографических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средств защиты.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2.3. При разработке и реализации мероприятий по организации и обеспечению безопасности персональных данных при их обработке в информационной системе оператор или уполномоченное оператором лицо осуществляет: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разработку для каждой информационной системы персональных данных модели угроз безопасности персональных данных при их обработке;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разработку на основе модели угроз системы безопасности персональных данных, обеспечивающей нейтрализацию всех перечисленных в модели угроз;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определение необходимости использования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персональных данных и, в случае положительного решения, определение на основе модели угроз цели использования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 и (или) иных неправомерных действий при их обработке;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установку и ввод в эксплуатацию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в соответствии с эксплуатационной и технической документацией к этим средствам;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проверку готовности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к использованию с составлением заключений о возможности их эксплуатации;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обучение лиц, использующих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работе с ними;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 используемых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эксплуатационной и технической документации к ним, носителей персональных данных;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учет лиц, допущенных к работе с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предназначенными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персональных данных в информационной системе (пользователи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);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контроль за соблюдением условий использования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предусмотренных эксплуатационной и технической документацией к ним;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разбирательство и составление заключений по фактам нарушения условий хранения носителей персональных данных, использования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описание организационных и технических мер, которые оператор обязуется осуществлять при обеспечении безопасности персональных данных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системах, с указанием в частности: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а) индекса, условного наименования и регистрационных номеров используемых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б) соответствия размещения и монтажа аппаратуры и оборудования, входящего в состав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требованиям нормативной документации и правилам 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в) соответствия помещений, в котором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 xml:space="preserve">размещены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хранится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ключевая документация к ним, настоящим Требованиям с описанием основных средств защиты;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г) выполнения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Описание принятых мер должно быть включено в уведомление, предусмотренное </w:t>
      </w:r>
      <w:hyperlink r:id="rId11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22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2.4.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допускаются к работе с ними по решению, утверждаемому оператором. При наличии двух и более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обязанности между ними должны быть распределены с учетом персональной ответственности за сохранность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ключевой, эксплуатационной и технической документации, а также за порученные участки работы.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2.5.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lastRenderedPageBreak/>
        <w:t xml:space="preserve">- не разглашать информацию, к которой они допущены, в том числе сведения о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ключевых документах к ним и других мерах защиты;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соблюдать требования к обеспечению безопасности персональных данных, требования к обеспечению безопасности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сообщать о ставших им известными попытках посторонних лиц получить сведения об используемых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ключевых документах к ним;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немедленно уведомлять оператора о фактах утраты или недостачи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сдать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эксплуатационную и техническую документацию к ним, ключевые документы в соответствии с порядком, установленным настоящими Требованиями, при увольнении или отстранении от исполнения обязанностей, связанных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2.6. Обеспечение функционирования и безопасности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возлагается на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имеющего необходимый уровень квалификации, назначаемого приказом оператора (далее - ответственный пользователь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Допускается возложение функций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>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одного из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на структурное подразделение или должностное лицо (работника), ответственных за обеспечение безопасности персональных данных, назначаемых оператором;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на специальное структурное подразделение по защите государственной тайны, использующее для этого шифровальные средства.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2.7. Ответственные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должны иметь функциональные обязанности, разработанные в соответствии с настоящими Требованиями.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2.8. При определении обязанностей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необходимо учитывать, что безопасность обработки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персональных данных обеспечивается: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соблюдением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ключевых документах к ним;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точным выполнением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требований к обеспечению безопасности персональных данных;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надежным хранением эксплуатационной и технической документации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ключевых документов, носителей информации ограниченного распространения;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обеспечением принятых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мер;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своевременным выявлением попыток посторонних лиц получить сведения о защищаемых персональных данных, об используемых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ключевых документах к ним;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- 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 xml:space="preserve">Лица, оформляемые на работу в качестве пользователей (ответственных пользователей)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должны быть ознакомлены с настоящими Требованиями и другими документами, регламентирующими организацию и обеспечение безопасности персональных данных при их обработке в информационных системах, под расписку и несут ответственность за несоблюдение ими требований указанных документов в соответствии с законодательством Российской Федерации.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2.10. Текущий контроль за организацией и обеспечением функционирования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возлагается на оператора и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в пределах их служебных полномочий.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2.11. Контроль за организацией, обеспечением функционирования и безопасности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предназначенных для защиты персональных данных при их обработке в информационных системах персональных данных, осуществляется в соответствии с действующим законодательством Российской Федерации.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2.12. В случае необходимости взаимодействия операторов информационных систем при использовании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обработки персональных данных для организации взаимодействия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 решению операторов персональных данных выделяется координирующий орган, ответственный за обеспечение безопасности персональных данных, указания которого являются обязательными для всех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3F3EFC">
        <w:rPr>
          <w:rFonts w:ascii="Times New Roman" w:hAnsi="Times New Roman" w:cs="Times New Roman"/>
          <w:sz w:val="28"/>
          <w:szCs w:val="28"/>
        </w:rPr>
        <w:t xml:space="preserve">3. Порядок обращения с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криптоключами</w:t>
      </w:r>
      <w:proofErr w:type="spell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к ним. Мероприятия при компрометации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3.1.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не разглашать информацию о ключевых документах;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не допускать снятие копий с ключевых документов;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не допускать вывод ключевых документов на дисплей (монитор) ПЭВМ или принтер;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не допускать записи на ключевой носитель посторонней информации;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- не допускать установки ключевых документов в другие ПЭВМ.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3.2. При необходимости передачи по техническим средствам связи служебных сообщений ограниченного доступа, касающихся организации и обеспечения функционирования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указанные сообщения необходимо передавать только с использованием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Передача по техническим средствам связи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не допускается, за исключением специально организованных систем с децентрализованным снабжением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используемые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Перечень индексов, условных наименований и регистрационных номеров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определяется Федеральной службой безопасности Российской Федерации.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3.4. Используемые или хранимые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эксплуатационная и техническая документация к ним, ключевые документы подлежат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поэкземплярному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учету. Рекомендуемые </w:t>
      </w:r>
      <w:hyperlink w:anchor="Par198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приведены в Приложении N 2. При этом программные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должны учитываться совместно с аппаратными средствами, с которыми осуществляется их штатное функционирование. Если аппаратные или аппаратно-программные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подключаются к системной шине или к одному из внутренних интерфейсов аппаратных средств, то такие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учитываются также совместно с соответствующими аппаратными средствами.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Единицей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 ключевых документов считается ключевой носитель многократного использования, ключевой блокнот. Если один и тот же ключевой носитель многократно используют для записи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то его каждый раз следует регистрировать отдельно.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3.5. Все полученные экземпляры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эксплуатационной и технической документации к ним, ключевых документов должны быть выданы под расписку в соответствующем журнале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 пользователям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несущим персональную ответственность за их сохранность.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Ответственный пользователь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заводит и ведет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на каждого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лицевой счет, в котором регистрирует числящиеся за ними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эксплуатационную и техническую документацию к ним, ключевые документы.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3.6. Если эксплуатационной и технической документацией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предусмотрено применение разовых ключевых носителей или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вводят и хранят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(на весь срок их действия) непосредственно в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то такой разовый ключевой носитель или электронная запись соответствующего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должны регистрироваться в техническом (аппаратном) журнале, ведущемся непосредственно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В техническом (аппаратном) журнале отражают также данные об эксплуатации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другие сведения, предусмотренные эксплуатационной и технической документацией. В иных случаях технический (аппаратный) журнал на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не заводится (если нет прямых указаний о его ведении в эксплуатационной или технической документации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). </w:t>
      </w:r>
      <w:hyperlink w:anchor="Par237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Типовая форма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технического (аппаратного) журнала приведена в Приложении N 3.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3.7. Передача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эксплуатационной и технической документации к ним, ключевых документов допускается только между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(или) ответственным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под расписку в соответствующих журналах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учета. Такая передача между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должна быть санкционирована ответственным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3.8.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хранят инсталлирующие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носители, эксплуатационную и техническую документацию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предусматривают также раздельное безопасное хранение действующих и резервных ключевых документов, предназначенных для применения в случае компрометации действующих ключевых документов.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3.9. Аппаратные средства, с которыми осуществляется штатное функционирование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 также аппаратные и аппаратно-программные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должны быть оборудованы средствами контроля за их вскрытием (опечатаны, опломбированы). Место опечатывания (опломбирования)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аппаратных средств должно быть таким, чтобы его можно было визуально контролировать. При наличии технической возможности на время отсутствия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3F3EFC">
        <w:rPr>
          <w:rFonts w:ascii="Times New Roman" w:hAnsi="Times New Roman" w:cs="Times New Roman"/>
          <w:sz w:val="28"/>
          <w:szCs w:val="28"/>
        </w:rPr>
        <w:lastRenderedPageBreak/>
        <w:t>средства необходимо отключать от линии связи и убирать в опечатываемые хранилища.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ключевые документы могут доставляться фельдъегерской (в том числе ведомственной) связью или со специально выделенными оператором ответственными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сотрудниками при соблюдении мер, исключающих бесконтрольный доступ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ключевым документам во время доставки.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Эксплуатационную и техническую документацию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можно пересылать заказными или ценными почтовыми отправлениями.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3.11. Для пересылки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ключевых документов они должны быть помещены в прочную упаковку, исключающую возможность их физического повреждения и внешнего воздействия, в особенности на записанную ключевую информацию.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пересылают отдельно от ключевых документов к ним. На упаковках указывают оператора или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для которых эти упаковки предназначены. На таких упаковках делают пометку "Лично". Упаковки опечатывают таким образом, чтобы исключалась возможность извлечения из них содержимого без нарушения упаковок и оттисков печати.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До первоначальной высылки (или возвращения) адресату сообщают отдельным письмом описание высылаемых ему упаковок и печатей, которыми они могут быть опечатаны.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3.12. Для пересылки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эксплуатационной и технической документации к ним, ключевых документов следует подготовить сопроводительное письмо, в котором необходимо указать: что посылается и в каком количестве, учетные номера изделий или документов, а также при необходимости назначение и порядок использования высылаемого отправления. Сопроводительное письмо вкладывают в одну из упаковок.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3.13. Полученные упаковки вскрывает только оператор или ответственный пользователь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для которых они предназначены. Если содержимое полученной упаковки не соответствует указанному в сопроводительном письме или сама упаковка и печать - их описанию (оттиску), а также если упаковка повреждена, в результате чего образовался свободный доступ к ее содержимому, то получатель составляет акт, который высылает отправителю. Полученные с такими отправлениями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ключевые документы до получения указаний от отправителя применять не разрешается.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3.14. При обнаружении бракованных ключевых документов или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один экземпляр бракованного изделия следует возвратить изготовителю для установления причин происшедшего и их устранения в дальнейшем, а оставшиеся экземпляры хранить до поступления дополнительных указаний от изготовителя.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3.15. Получение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эксплуатационной и технической документации к ним, ключевых документов должно быть подтверждено отправителю в соответствии с порядком, указанным в сопроводительном письме. Отправитель обязан контролировать доставку своих отправлений адресатам. Если от адресата своевременно не поступило соответствующего подтверждения, то отправитель должен направить ему запрос и принять меры к уточнению местонахождения отправлений.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3.16. Заказ на изготовление очередных ключевых документов, их изготовление и рассылку на места использования для своевременной замены действующих ключевых документов следует производить заблаговременно. Указание о вводе в действие очередных ключевых документов может быть дано ответственным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только после поступления от всех заинтересованных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подтверждения о получении ими очередных ключевых документов.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3.17. Неиспользованные или выведенные из действия ключевые документы подлежат возвращению ответственному пользователю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по его указанию должны быть уничтожены на месте.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3.18. Уничтожение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(исходной ключевой информации) может производиться путем физического уничтожения ключевого носителя, на котором они расположены, или путем стирания (разрушения)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(исходной ключевой информации) без повреждения ключевого носителя (для обеспечения возможности его многократного использования).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(исходную ключевую информацию) стирают по технологии, принятой для соответствующих ключевых носителей многократного использования (дискет, компакт-дисков (CD-ROM),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т.п.). Непосредственные действия по стиранию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(исходной ключевой информации),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 также указаниями организации, производившей запись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(исходной ключевой информации).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Ключевые носители уничтожают путем нанесения им неустранимого физического повреждения, исключающего возможность их использования, а также восстановления ключевой информации. Непосредственные действия по уничтожению конкретного типа ключевого носителя регламентируются эксплуатационной и технической документацией к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 также указаниями организации, производившей запись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(исходной ключевой информации).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Бумажные и прочие сгораемые ключевые носители, а также эксплуатационную и техническую документацию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уничтожают путем сжигания или с помощью любых бумагорезательных </w:t>
      </w:r>
      <w:r w:rsidRPr="003F3EFC">
        <w:rPr>
          <w:rFonts w:ascii="Times New Roman" w:hAnsi="Times New Roman" w:cs="Times New Roman"/>
          <w:sz w:val="28"/>
          <w:szCs w:val="28"/>
        </w:rPr>
        <w:lastRenderedPageBreak/>
        <w:t>машин.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3.19.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уничтожают (утилизируют) по решению оператора, владеющего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и с уведомлением организации, ответственной в соответствии с </w:t>
      </w:r>
      <w:hyperlink r:id="rId12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ПКЗ-2005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Намеченные к уничтожению (утилизации)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подлежат изъятию из аппаратных средств, с которыми они функционировали. При этом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считаются изъятыми из аппаратных средств, если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 xml:space="preserve">исполнена предусмотренная эксплуатационной и технической документацией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процедура удаления программного обеспечения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они полностью отсоединены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от аппаратных средств.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3.20. Пригодные для дальнейшего использования узлы и детали аппаратных средств общего назначения, не предназначенные специально для аппаратной реализации криптографических алгоритмов или иных функций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 также совместно работающее с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оборудование (мониторы, принтеры, сканеры, клавиатура и т.п.) разрешается использовать после уничтожения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без ограничений. При этом информация, которая может оставаться в устройствах памяти оборудования (например, в принтерах, сканерах), должна быть надежно удалена (стерта).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3.21. Ключевые документы должны быть уничтожены в сроки, указанные в эксплуатационной и технической документации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Если срок уничтожения эксплуатационной и технической документацией не установлен, то ключевые документы должны быть уничтожены не позднее 10 суток после вывода их из действия (окончания срока действия). Факт уничтожения оформляется в соответствующих журналах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учета. В эти же сроки с отметкой в техническом (аппаратном) журнале подлежат уничтожению разовые ключевые носители и ранее введенная и хранящаяся в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иных дополнительных устройствах ключевая информация, соответствующая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выведенным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из действия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; хранящиеся в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криптографически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защищенном виде данные следует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перешифровать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на новых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3.22. Разовые ключевые носители, а также электронные записи ключевой информации, соответствующей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выведенным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из действия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непосредственно в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криптосредствах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иных дополнительных устройствах уничтожаются пользователями этих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самостоятельно под расписку в техническом (аппаратном) журнале.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Ключевые документы уничтожаются либо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либо ответственным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под расписку в соответствующих журналах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учета, а уничтожение большого объема ключевых документов может быть оформлено актом.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 xml:space="preserve">При этом пользователям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разрешается уничтожать только использованные непосредственно ими (предназначенные для них)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После уничтожения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должны уведомить об этом (телефонограммой, устным сообщением по телефону и т.п.)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для списания уничтоженных документов с их лицевых счетов.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Уничтожение по акту производит комиссия в составе не менее двух человек из числа лиц, допущенных к пользованию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В акте указывается, что уничтожается и в каком количестве. В конце акта делается итоговая запись (цифрами и прописью) о количестве наименований и экземпляров уничтожаемых ключевых документов, инсталлирующих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носителей, эксплуатационной и технической документации. Исправления в тексте акта должны быть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оговорены и заверены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подписями всех членов комиссии, принимавших участие в уничтожении. О проведенном уничтожении делаются отметки в соответствующих журналах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3.23.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возникло подозрение в компрометации, а также действующие совместно с ними другие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необходимо немедленно вывести из действия, если иной порядок не оговорен в эксплуатационной и технической документации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В чрезвычайных случаях, когда отсутствуют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для замены скомпрометированных, допускается по решению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согласованному с оператором, использование скомпрометированных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В этом случае период использования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скомпрометированных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должен быть максимально коротким, а защищаемая информация как можно менее ценной.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3.24. О нарушениях, которые могут привести к компрометации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их составных частей или передававшихся (хранящихся) с их использованием персональных данных,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обязаны сообщать ответственному пользователю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(или) оператору.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Осмотр ключевых носителей многократного использования посторонними лицами не следует рассматривать как подозрение в компрометации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если при этом исключалась возможность их копирования (чтения, размножения).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В случаях недостачи,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непредъявления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ключевых документов, а также неопределенности их местонахождения принимаются срочные меры к их розыску.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3.25. Мероприятия по розыску и локализации последствий компрометации ключевых документов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3.26. Ключевые документы для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исходная ключевая информация для выработки ключевых документов изготавливаются ФСБ России на договорной основе или лицами, имеющими </w:t>
      </w:r>
      <w:r w:rsidRPr="003F3EFC">
        <w:rPr>
          <w:rFonts w:ascii="Times New Roman" w:hAnsi="Times New Roman" w:cs="Times New Roman"/>
          <w:sz w:val="28"/>
          <w:szCs w:val="28"/>
        </w:rPr>
        <w:lastRenderedPageBreak/>
        <w:t xml:space="preserve">лицензию ФСБ России на деятельность по изготовлению ключевых документов для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Изготовлять ключевые документы из исходной ключевой информации могут операторы или ответственные пользователи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применяя штатные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если такая возможность предусмотрена эксплуатационной и технической документацией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32"/>
      <w:bookmarkEnd w:id="4"/>
      <w:r w:rsidRPr="003F3EFC">
        <w:rPr>
          <w:rFonts w:ascii="Times New Roman" w:hAnsi="Times New Roman" w:cs="Times New Roman"/>
          <w:sz w:val="28"/>
          <w:szCs w:val="28"/>
        </w:rPr>
        <w:t>4. Размещение, специальное оборудование, охрана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и организация режима в помещениях, где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хранятся ключевые документы к ним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4.1. Размещение, специальное оборудование, охрана и организация режима в помещениях, где установлены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хранятся ключевые документы к ним (далее - режимные помещения), должны обеспечивать сохранность персональных данных,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 ключевых документов к ним.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При оборудовании режимных помещений должны выполняться требования к размещению, монтажу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 также другого оборудования, функционирующего с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Перечисленные в настоящем документе требования к режимным помещениям могут не предъявляться, если это предусмотрено правилами 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согласованными с ФСБ России.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4.2. Режимные помещения выделяют с учетом размеров контролируемых зон, регламентированных эксплуатационной и технической документацией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 Помещения должны иметь прочные входные двери с замками, гарантирующими надежное закрытие помещений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режимные помещения посторонних лиц, необходимо оборудовать металлическими решетками или ставнями, или охранной сигнализацией, или другими средствами, препятствующими неконтролируемому проникновению в режимные помещения.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4.3. Размещение, специальное оборудование, охрана и организация режима в помещениях должны исключить возможность неконтролируемого проникновения или пребывания в них посторонних лиц, а также просмотра посторонними лицами ведущихся там работ.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4.4. Режим охраны помещений, в том числе правила допуска сотрудников и посетителей в рабочее и нерабочее время, устанавливает ответственный пользователь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 согласованию при необходимости с оператором, в помещениях которого установлены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хранятся ключевые документы к ним. Установленный режим охраны должен предусматривать периодический контроль за состоянием технических средств охраны, если таковые имеются, а также учитывать положения настоящих Требований.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4.5. Двери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спецпомещений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должны быть постоянно закрыты на замок и могут открываться только для санкционированного прохода сотрудников и посетителей. Ключи от входных дверей нумеруют,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учитывают и выдают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сотрудникам, имеющим право допуска в режимные помещения, под расписку в журнале учета хранилищ. Дубликаты ключей от входных дверей таких помещений следует хранить в сейфе оператора или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4.6. Для предотвращения просмотра извне режимных помещений их окна должны быть защищены.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4.7. Режимные помещения, как правило, должны быть оснащены охранной сигнализацией, связанной со службой охраны здания или дежурным по организации. Исправность сигнализации периодически необходимо проверять ответственному пользователю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совместно с представителем службы охраны или дежурным по организации с отметкой в соответствующих журналах.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4.8. Для хранения ключевых документов, эксплуатационной и технической документации, инсталлирующих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носителей должно быть предусмотрено необходимое число надежных металлических хранилищ, оборудованных внутренними замками с двумя экземплярами ключей и кодовыми замками или приспособлениями для опечатывания замочных скважин. Один экземпляр ключа от хранилища должен находиться у сотрудника, ответственного за хранилище. Дубликаты ключей от хранилищ сотрудники хранят в сейфе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. Дубликат ключа от хранилища ответственного пользователя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в опечатанной упаковке должен быть передан на хранение оператору под расписку в соответствующем журнале.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4.9. По окончании рабочего дня режимное помещение и установленные в нем хранилища должны быть закрыты, хранилища опечатаны. Находящиеся в пользовании ключи от хранилищ должны быть сданы под расписку в соответствующем журнале ответственному пользователю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уполномоченному (дежурному), которые хранят эти ключи в личном или специально выделенном хранилище.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Ключи от режимных помещений, а также ключ от хранилища, в котором находятся ключи от всех других хранилищ режимного помещения, в опечатанном виде должны быть сданы под расписку в соответствующем журнале службы охраны или дежурному по организации одновременно с передачей под охрану самих режимных помещений. Печати, предназначенные для опечатывания хранилищ, должны находиться у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 ответственных за эти хранилища.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lastRenderedPageBreak/>
        <w:t xml:space="preserve">4.10. При утрате ключа от хранилища или от входной двери в режимное помещение замок необходимо заменить или переделать его секрет с изготовлением к нему новых ключей с документальным оформлением. Если замок от хранилища переделать невозможно, то такое хранилище необходимо заменить. Порядок хранения ключевых и других документов в хранилище, от которого утрачен ключ, до изменения секрета замка устанавливает оператор или ответственный пользователь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4.11. В обычных условиях режимные помещения, находящиеся в них опечатанные хранилища могут быть вскрыты только пользователями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ответственным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оператором.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При обнаружении признаков, указывающих на возможное несанкционированное проникновение в эти помещения или хранилища посторонних лиц, о случившемся должно быть немедленно сообщено ответственному пользователю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оператору. Прибывший ответственный пользователь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должен оценить возможность компрометации хранящихся ключевых и других документов, составить акт и принять при необходимости меры к локализации последствий компрометации персональных данных и к замене скомпрометированных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4.12. Размещение и монтаж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а также другого оборудования, функционирующего с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, в режимных помещениях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криптоключей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осуществляются в отсутствие лиц, не допущенных к работе с данными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На время отсутствия пользователей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указанное оборудование при наличии технической возможности должно быть выключено,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отключено от линии связи и убрано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в опечатываемые хранилища. В противном случае по согласованию с ответственным пользователем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необходимо предусмотреть организационно-технические меры, исключающие возможность использования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посторонними лицами.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58"/>
      <w:bookmarkEnd w:id="5"/>
      <w:r w:rsidRPr="003F3EF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0"/>
      <w:bookmarkEnd w:id="6"/>
      <w:r w:rsidRPr="003F3EFC">
        <w:rPr>
          <w:rFonts w:ascii="Times New Roman" w:hAnsi="Times New Roman" w:cs="Times New Roman"/>
          <w:sz w:val="28"/>
          <w:szCs w:val="28"/>
        </w:rPr>
        <w:t>ОСНОВНЫЕ ТЕРМИНЫ И ОПРЕДЕЛЕНИЯ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Доступ к информации - возможность получения информации и ее использования.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Контролируемая зона - пространство, в пределах которого осуществляется контроль за пребыванием и действиями лиц и (или) транспортных средств.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Границей контролируемой зоны может быть: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- шифровальное (криптографическое) средство, предназначенное для защиты информации, не содержащей сведений, составляющих государственную тайну. В частности, к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криптосредствам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относятся средства криптографической защиты информации (СКЗИ) - шифровальные (криптографические) средства защиты информации с ограниченным доступом, не содержащей сведений, составляющих государственную тайну.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Модель нарушителя - 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Модель угроз - перечень возможных угроз.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FC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lastRenderedPageBreak/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FC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Пользователь - лицо, участвующее в эксплуатации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использующее результаты его функционирования.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Режимные помещения - помещения, где установлены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или хранятся ключевые документы к ним.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Средство защиты информации - техническое, программное средство, вещество и (или) материал, предназначенные или используемые для защиты информации.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Шифровальные (криптографические) средства -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: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б) средства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имитозащиты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3F3EFC" w:rsidRPr="003F3EFC" w:rsidRDefault="003F3E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3EFC">
        <w:rPr>
          <w:rFonts w:ascii="Times New Roman" w:hAnsi="Times New Roman" w:cs="Times New Roman"/>
          <w:sz w:val="28"/>
          <w:szCs w:val="28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3F3EFC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3F3EFC">
        <w:rPr>
          <w:rFonts w:ascii="Times New Roman" w:hAnsi="Times New Roman" w:cs="Times New Roman"/>
          <w:sz w:val="28"/>
          <w:szCs w:val="28"/>
        </w:rPr>
        <w:t xml:space="preserve"> подписи, используется усиленная квалифицированная электронная </w:t>
      </w:r>
      <w:hyperlink r:id="rId14" w:history="1">
        <w:r w:rsidRPr="003F3EFC">
          <w:rPr>
            <w:rFonts w:ascii="Times New Roman" w:hAnsi="Times New Roman" w:cs="Times New Roman"/>
            <w:color w:val="0000FF"/>
            <w:sz w:val="28"/>
            <w:szCs w:val="28"/>
          </w:rPr>
          <w:t>подпись</w:t>
        </w:r>
      </w:hyperlink>
      <w:r w:rsidRPr="003F3EFC">
        <w:rPr>
          <w:rFonts w:ascii="Times New Roman" w:hAnsi="Times New Roman" w:cs="Times New Roman"/>
          <w:sz w:val="28"/>
          <w:szCs w:val="28"/>
        </w:rPr>
        <w:t>.</w:t>
      </w:r>
    </w:p>
    <w:p w:rsidR="003F3EFC" w:rsidRPr="003F3EFC" w:rsidRDefault="003F3E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FC">
        <w:rPr>
          <w:rFonts w:ascii="Times New Roman" w:hAnsi="Times New Roman" w:cs="Times New Roman"/>
          <w:sz w:val="28"/>
          <w:szCs w:val="28"/>
        </w:rPr>
        <w:t>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  <w:proofErr w:type="gramEnd"/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г) средства кодирования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д) средства изготовления ключевых документов (независимо от вида носителя ключевой информации);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е) ключевые документы (независимо от вида носителя ключевой информации).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rPr>
          <w:rFonts w:ascii="Times New Roman" w:hAnsi="Times New Roman" w:cs="Times New Roman"/>
          <w:sz w:val="28"/>
          <w:szCs w:val="28"/>
        </w:rPr>
        <w:sectPr w:rsidR="003F3EFC" w:rsidRPr="003F3EFC" w:rsidSect="002A393B">
          <w:type w:val="continuous"/>
          <w:pgSz w:w="11909" w:h="16838" w:code="9"/>
          <w:pgMar w:top="1134" w:right="850" w:bottom="1134" w:left="1701" w:header="0" w:footer="6" w:gutter="0"/>
          <w:cols w:space="708"/>
          <w:noEndnote/>
          <w:titlePg/>
          <w:docGrid w:linePitch="360"/>
        </w:sectPr>
      </w:pPr>
      <w:r w:rsidRPr="003F3EFC">
        <w:rPr>
          <w:rFonts w:ascii="Times New Roman" w:hAnsi="Times New Roman" w:cs="Times New Roman"/>
          <w:sz w:val="28"/>
          <w:szCs w:val="28"/>
        </w:rPr>
        <w:br w:type="page"/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96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F3EFC">
        <w:rPr>
          <w:rFonts w:ascii="Times New Roman" w:hAnsi="Times New Roman" w:cs="Times New Roman"/>
          <w:sz w:val="28"/>
          <w:szCs w:val="28"/>
        </w:rPr>
        <w:t>риложение 2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  <w:r w:rsidRPr="003F3EFC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 xml:space="preserve">журнала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Pr="003F3EF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F3EFC">
        <w:rPr>
          <w:rFonts w:ascii="Times New Roman" w:hAnsi="Times New Roman" w:cs="Times New Roman"/>
          <w:sz w:val="28"/>
          <w:szCs w:val="28"/>
        </w:rPr>
        <w:t>,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эксплуатационной и технической документации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к ним, ключевых документов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23" w:type="dxa"/>
        <w:tblCellSpacing w:w="5" w:type="nil"/>
        <w:tblInd w:w="9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280"/>
        <w:gridCol w:w="2467"/>
        <w:gridCol w:w="1559"/>
        <w:gridCol w:w="1474"/>
        <w:gridCol w:w="1080"/>
        <w:gridCol w:w="1703"/>
      </w:tblGrid>
      <w:tr w:rsidR="003F3EFC" w:rsidRPr="003F3EFC" w:rsidTr="002A393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криптосредства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эксплуатационной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и технической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ним,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документов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Регистрационные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номера СКЗИ,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эксплуатационной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и технической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ним, номера серий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ключевых 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документов 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Номера 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криптогра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фические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номера)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Отметка о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Отметка о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выдаче    </w:t>
            </w:r>
          </w:p>
        </w:tc>
      </w:tr>
      <w:tr w:rsidR="003F3EFC" w:rsidRPr="003F3EFC" w:rsidTr="002A393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</w:p>
          <w:p w:rsidR="003F3EFC" w:rsidRPr="003F3EFC" w:rsidRDefault="003F3EFC" w:rsidP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Дата и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номер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сопроводительного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письма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пользователя </w:t>
            </w:r>
          </w:p>
          <w:p w:rsidR="003F3EFC" w:rsidRPr="003F3EFC" w:rsidRDefault="003F3EFC" w:rsidP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криптосредств</w:t>
            </w:r>
            <w:proofErr w:type="spellEnd"/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расписка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EFC" w:rsidRPr="003F3EFC" w:rsidRDefault="003F3EFC" w:rsidP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3EFC" w:rsidRPr="003F3EFC" w:rsidTr="002A39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  2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  3        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</w:tr>
    </w:tbl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66" w:type="dxa"/>
        <w:tblCellSpacing w:w="5" w:type="nil"/>
        <w:tblInd w:w="83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1200"/>
        <w:gridCol w:w="1920"/>
        <w:gridCol w:w="1200"/>
        <w:gridCol w:w="1946"/>
      </w:tblGrid>
      <w:tr w:rsidR="003F3EFC" w:rsidRPr="003F3EFC" w:rsidTr="002A393B">
        <w:trPr>
          <w:trHeight w:val="800"/>
          <w:tblCellSpacing w:w="5" w:type="nil"/>
        </w:trPr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   Отметка о подключении (установке) СКЗИ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Отметка об изъятии СКЗИ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аппаратных средств, уничтожении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ключевых документов       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3F3EFC" w:rsidRPr="003F3EFC" w:rsidTr="002A393B">
        <w:trPr>
          <w:trHeight w:val="10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Ф.И.О. пользователя </w:t>
            </w: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криптосредств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производившего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  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(установку)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Дата подключения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(установки) и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писи лиц, произведших подключение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(установку)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Номера аппаратных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средств, в которые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или к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которым подключены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криптосредства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изъятия </w:t>
            </w:r>
          </w:p>
          <w:p w:rsidR="003F3EFC" w:rsidRPr="003F3EFC" w:rsidRDefault="003F3EFC" w:rsidP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(уничтожения)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Ф.И.О. пользователя СКЗИ,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производившего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изъятие    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(уничтожение)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Номер   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акта или</w:t>
            </w:r>
          </w:p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  <w:p w:rsidR="003F3EFC" w:rsidRPr="003F3EFC" w:rsidRDefault="003F3EFC" w:rsidP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об уничтожении </w:t>
            </w:r>
          </w:p>
        </w:tc>
        <w:tc>
          <w:tcPr>
            <w:tcW w:w="1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C" w:rsidRPr="003F3EFC" w:rsidTr="002A393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  9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  10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  11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12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 13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14   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EFC" w:rsidRPr="003F3EFC" w:rsidRDefault="003F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15  </w:t>
            </w:r>
          </w:p>
        </w:tc>
      </w:tr>
    </w:tbl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235"/>
      <w:bookmarkEnd w:id="9"/>
      <w:r w:rsidRPr="003F3EF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37"/>
      <w:bookmarkEnd w:id="10"/>
      <w:r w:rsidRPr="003F3EFC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F3EFC" w:rsidRPr="003F3EFC" w:rsidRDefault="003F3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FC">
        <w:rPr>
          <w:rFonts w:ascii="Times New Roman" w:hAnsi="Times New Roman" w:cs="Times New Roman"/>
          <w:sz w:val="28"/>
          <w:szCs w:val="28"/>
        </w:rPr>
        <w:t>технического (аппаратного) журнала</w:t>
      </w:r>
    </w:p>
    <w:tbl>
      <w:tblPr>
        <w:tblpPr w:leftFromText="180" w:rightFromText="180" w:vertAnchor="text" w:horzAnchor="margin" w:tblpXSpec="center" w:tblpY="258"/>
        <w:tblOverlap w:val="never"/>
        <w:tblW w:w="1474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701"/>
        <w:gridCol w:w="1813"/>
        <w:gridCol w:w="960"/>
        <w:gridCol w:w="1763"/>
        <w:gridCol w:w="2126"/>
        <w:gridCol w:w="1418"/>
        <w:gridCol w:w="1701"/>
        <w:gridCol w:w="1984"/>
      </w:tblGrid>
      <w:tr w:rsidR="002A393B" w:rsidRPr="003F3EFC" w:rsidTr="002A393B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и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регистрационные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по 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ю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криптосредств</w:t>
            </w:r>
            <w:proofErr w:type="spellEnd"/>
          </w:p>
        </w:tc>
        <w:tc>
          <w:tcPr>
            <w:tcW w:w="4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Используемые </w:t>
            </w: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криптоключи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Отметка 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уничтожении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стирании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2A393B" w:rsidRPr="003F3EFC" w:rsidTr="002A393B">
        <w:trPr>
          <w:trHeight w:val="18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Тип 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proofErr w:type="gram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Серийный,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крипто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графический номер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и номер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экземпляра ключевого   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вого носи-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теля или 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тосредств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в которую 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введены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криптоключи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вателя </w:t>
            </w:r>
          </w:p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</w:t>
            </w: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3B" w:rsidRPr="003F3EFC" w:rsidTr="002A393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3B" w:rsidRPr="003F3EFC" w:rsidRDefault="002A393B" w:rsidP="002A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 10  </w:t>
            </w:r>
          </w:p>
        </w:tc>
      </w:tr>
    </w:tbl>
    <w:p w:rsidR="003F3EFC" w:rsidRPr="003F3EFC" w:rsidRDefault="003F3EFC" w:rsidP="002A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3F3EFC" w:rsidRPr="003F3EFC" w:rsidSect="002A393B">
      <w:type w:val="continuous"/>
      <w:pgSz w:w="16838" w:h="11909" w:orient="landscape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C"/>
    <w:rsid w:val="002A393B"/>
    <w:rsid w:val="003F3EFC"/>
    <w:rsid w:val="00BE1045"/>
    <w:rsid w:val="00C03B92"/>
    <w:rsid w:val="00D65D67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11812C66FD93331FF70B2E756C50DF104305E599ABCF48A476DD7F228r5L" TargetMode="External"/><Relationship Id="rId13" Type="http://schemas.openxmlformats.org/officeDocument/2006/relationships/hyperlink" Target="consultantplus://offline/ref=16A11812C66FD93331FF70B2E756C50DF1023557599EBCF48A476DD7F28507BD4F2C536B96773B962D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11812C66FD93331FF70B2E756C50DF1033054509EBCF48A476DD7F28507BD4F2C536B967739962Dr2L" TargetMode="External"/><Relationship Id="rId12" Type="http://schemas.openxmlformats.org/officeDocument/2006/relationships/hyperlink" Target="consultantplus://offline/ref=16A11812C66FD93331FF70B2E756C50DF104305E599ABCF48A476DD7F28507BD4F2C536B967739962Dr4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11812C66FD93331FF70B2E756C50DF706355E5E94E1FE821E61D5F58A58AA48655F6A96773929rEL" TargetMode="External"/><Relationship Id="rId11" Type="http://schemas.openxmlformats.org/officeDocument/2006/relationships/hyperlink" Target="consultantplus://offline/ref=16A11812C66FD93331FF70B2E756C50DF102335E5E9BBCF48A476DD7F28507BD4F2C536B967738912Dr7L" TargetMode="External"/><Relationship Id="rId5" Type="http://schemas.openxmlformats.org/officeDocument/2006/relationships/hyperlink" Target="consultantplus://offline/ref=16A11812C66FD93331FF70B2E756C50DF102335E5E9BBCF48A476DD7F28507BD4F2C536B96773A9F2Dr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A11812C66FD93331FF70B2E756C50DF106365E519DBCF48A476DD7F228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A11812C66FD93331FF70B2E756C50DF10435535C9EBCF48A476DD7F228r5L" TargetMode="External"/><Relationship Id="rId14" Type="http://schemas.openxmlformats.org/officeDocument/2006/relationships/hyperlink" Target="consultantplus://offline/ref=16A11812C66FD93331FF70B2E756C50DF1023557599EBCF48A476DD7F28507BD4F2C536B967739932D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Лёвушкин Алексей Игоревич</dc:creator>
  <cp:lastModifiedBy>Лёвушкин Алексей Игоревич</cp:lastModifiedBy>
  <cp:revision>2</cp:revision>
  <dcterms:created xsi:type="dcterms:W3CDTF">2014-12-19T11:43:00Z</dcterms:created>
  <dcterms:modified xsi:type="dcterms:W3CDTF">2014-12-19T12:02:00Z</dcterms:modified>
</cp:coreProperties>
</file>